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F34F6" w:rsidRPr="00D86AA7" w:rsidRDefault="006F34F6" w:rsidP="006F34F6">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C5337A">
        <w:rPr>
          <w:rFonts w:ascii="Arial" w:eastAsia="Batang" w:hAnsi="Arial" w:cs="Arial"/>
          <w:b/>
          <w:bCs/>
          <w:lang w:val="en-GB"/>
        </w:rPr>
        <w:t>00404</w:t>
      </w:r>
    </w:p>
    <w:p w:rsidR="006F34F6" w:rsidRPr="00DA7B88" w:rsidRDefault="006F34F6" w:rsidP="006F34F6">
      <w:pPr>
        <w:tabs>
          <w:tab w:val="center" w:pos="4536"/>
          <w:tab w:val="right" w:pos="9072"/>
        </w:tabs>
        <w:rPr>
          <w:rFonts w:ascii="Arial" w:eastAsia="Batang" w:hAnsi="Arial" w:cs="Arial"/>
          <w:b/>
          <w:bCs/>
          <w:lang w:val="en-GB"/>
        </w:rPr>
      </w:pPr>
      <w:r w:rsidRPr="00DA7B88">
        <w:rPr>
          <w:rFonts w:ascii="Arial" w:eastAsia="Batang" w:hAnsi="Arial" w:cs="Arial"/>
          <w:b/>
          <w:bCs/>
          <w:lang w:val="en-GB"/>
        </w:rPr>
        <w:t>Athens, Greece, February 27</w:t>
      </w:r>
      <w:r w:rsidRPr="00DA7B88">
        <w:rPr>
          <w:rFonts w:ascii="Arial" w:eastAsia="Batang" w:hAnsi="Arial" w:cs="Arial"/>
          <w:b/>
          <w:bCs/>
          <w:vertAlign w:val="superscript"/>
          <w:lang w:val="en-GB"/>
        </w:rPr>
        <w:t>th</w:t>
      </w:r>
      <w:r w:rsidRPr="00DA7B88">
        <w:rPr>
          <w:rFonts w:ascii="Arial" w:eastAsia="Batang" w:hAnsi="Arial" w:cs="Arial"/>
          <w:b/>
          <w:bCs/>
          <w:lang w:val="en-GB"/>
        </w:rPr>
        <w:t xml:space="preserve"> – March 3</w:t>
      </w:r>
      <w:r w:rsidRPr="00DA7B88">
        <w:rPr>
          <w:rFonts w:ascii="Arial" w:eastAsia="Batang" w:hAnsi="Arial" w:cs="Arial"/>
          <w:b/>
          <w:bCs/>
          <w:vertAlign w:val="superscript"/>
          <w:lang w:val="en-GB"/>
        </w:rPr>
        <w:t>rd</w:t>
      </w:r>
      <w:r w:rsidRPr="00DA7B88">
        <w:rPr>
          <w:rFonts w:ascii="Arial" w:eastAsia="Batang" w:hAnsi="Arial" w:cs="Arial"/>
          <w:b/>
          <w:bCs/>
          <w:lang w:val="en-GB"/>
        </w:rPr>
        <w:t>, 2023</w:t>
      </w: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2055B7">
        <w:rPr>
          <w:sz w:val="22"/>
          <w:szCs w:val="22"/>
        </w:rPr>
        <w:t>7.</w:t>
      </w:r>
      <w:r w:rsidR="00047CA9">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055B7">
        <w:rPr>
          <w:sz w:val="22"/>
          <w:szCs w:val="22"/>
        </w:rPr>
        <w:t xml:space="preserve">Network </w:t>
      </w:r>
      <w:r w:rsidR="007859EE">
        <w:rPr>
          <w:sz w:val="22"/>
          <w:szCs w:val="22"/>
        </w:rPr>
        <w:t xml:space="preserve">Energy </w:t>
      </w:r>
      <w:r w:rsidR="002055B7">
        <w:rPr>
          <w:rFonts w:hint="eastAsia"/>
          <w:sz w:val="22"/>
          <w:szCs w:val="22"/>
        </w:rPr>
        <w:t>S</w:t>
      </w:r>
      <w:r w:rsidR="002055B7">
        <w:rPr>
          <w:sz w:val="22"/>
          <w:szCs w:val="22"/>
        </w:rPr>
        <w:t>aving in Spatial and Power Domain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w:t>
      </w:r>
      <w:r w:rsidR="002055B7">
        <w:rPr>
          <w:lang w:val="en-US"/>
        </w:rPr>
        <w:t>RP-</w:t>
      </w:r>
      <w:r w:rsidR="0007380B">
        <w:rPr>
          <w:rFonts w:hint="eastAsia"/>
          <w:lang w:val="en-US" w:eastAsia="zh-CN"/>
        </w:rPr>
        <w:t>2</w:t>
      </w:r>
      <w:r w:rsidR="0007380B">
        <w:rPr>
          <w:lang w:val="en-US" w:eastAsia="zh-CN"/>
        </w:rPr>
        <w:t>23540</w:t>
      </w:r>
      <w:r>
        <w:rPr>
          <w:lang w:val="en-US"/>
        </w:rPr>
        <w:t xml:space="preserve">, the following </w:t>
      </w:r>
      <w:r w:rsidR="0007380B">
        <w:rPr>
          <w:lang w:val="en-US" w:eastAsia="zh-CN"/>
        </w:rPr>
        <w:t>objective on network energy saving is defined</w:t>
      </w:r>
      <w:r>
        <w:rPr>
          <w:rFonts w:hint="eastAsia"/>
          <w:lang w:val="en-US" w:eastAsia="zh-CN"/>
        </w:rPr>
        <w:t>.</w:t>
      </w:r>
    </w:p>
    <w:tbl>
      <w:tblPr>
        <w:tblStyle w:val="TableGrid"/>
        <w:tblW w:w="0" w:type="auto"/>
        <w:tblLook w:val="04A0" w:firstRow="1" w:lastRow="0" w:firstColumn="1" w:lastColumn="0" w:noHBand="0" w:noVBand="1"/>
      </w:tblPr>
      <w:tblGrid>
        <w:gridCol w:w="9010"/>
      </w:tblGrid>
      <w:tr w:rsidR="00557396" w:rsidRPr="0007380B" w:rsidTr="00557396">
        <w:tc>
          <w:tcPr>
            <w:tcW w:w="9010" w:type="dxa"/>
          </w:tcPr>
          <w:p w:rsidR="0007380B" w:rsidRPr="0007380B" w:rsidRDefault="0007380B" w:rsidP="0007380B">
            <w:pPr>
              <w:numPr>
                <w:ilvl w:val="0"/>
                <w:numId w:val="36"/>
              </w:numPr>
              <w:overflowPunct w:val="0"/>
              <w:autoSpaceDE w:val="0"/>
              <w:autoSpaceDN w:val="0"/>
              <w:adjustRightInd w:val="0"/>
              <w:ind w:leftChars="100" w:left="660"/>
              <w:textAlignment w:val="baseline"/>
              <w:rPr>
                <w:bCs/>
                <w:sz w:val="20"/>
                <w:szCs w:val="20"/>
              </w:rPr>
            </w:pPr>
            <w:r w:rsidRPr="0007380B">
              <w:rPr>
                <w:bCs/>
                <w:sz w:val="20"/>
                <w:szCs w:val="20"/>
              </w:rPr>
              <w:t xml:space="preserve">Specify SSB-less SCell operation for inter-band CA for FR1 and co-located cells, if found feasible by RAN4 study, where a UE measures SSB transmitted on </w:t>
            </w:r>
            <w:proofErr w:type="spellStart"/>
            <w:r w:rsidRPr="0007380B">
              <w:rPr>
                <w:bCs/>
                <w:sz w:val="20"/>
                <w:szCs w:val="20"/>
              </w:rPr>
              <w:t>PCell</w:t>
            </w:r>
            <w:proofErr w:type="spellEnd"/>
            <w:r w:rsidRPr="0007380B">
              <w:rPr>
                <w:bCs/>
                <w:sz w:val="20"/>
                <w:szCs w:val="20"/>
              </w:rPr>
              <w:t xml:space="preserve"> or another SCell for an </w:t>
            </w:r>
            <w:proofErr w:type="spellStart"/>
            <w:r w:rsidRPr="0007380B">
              <w:rPr>
                <w:bCs/>
                <w:sz w:val="20"/>
                <w:szCs w:val="20"/>
              </w:rPr>
              <w:t>SCell’s</w:t>
            </w:r>
            <w:proofErr w:type="spellEnd"/>
            <w:r w:rsidRPr="0007380B">
              <w:rPr>
                <w:bCs/>
                <w:sz w:val="20"/>
                <w:szCs w:val="20"/>
              </w:rPr>
              <w:t xml:space="preserve"> time/frequency synchronization (including downlink AGC), and L1/L3 measurements, including potential enhancement on SCell activation procedures if necessary [RAN4, RAN2]</w:t>
            </w:r>
          </w:p>
          <w:p w:rsidR="0007380B" w:rsidRPr="0007380B" w:rsidRDefault="0007380B" w:rsidP="0007380B">
            <w:pPr>
              <w:ind w:left="620"/>
              <w:rPr>
                <w:bCs/>
                <w:sz w:val="20"/>
                <w:szCs w:val="20"/>
              </w:rPr>
            </w:pPr>
          </w:p>
          <w:p w:rsidR="0007380B" w:rsidRPr="00226953" w:rsidRDefault="0007380B" w:rsidP="0007380B">
            <w:pPr>
              <w:numPr>
                <w:ilvl w:val="0"/>
                <w:numId w:val="36"/>
              </w:numPr>
              <w:overflowPunct w:val="0"/>
              <w:autoSpaceDE w:val="0"/>
              <w:autoSpaceDN w:val="0"/>
              <w:adjustRightInd w:val="0"/>
              <w:ind w:leftChars="100" w:left="660"/>
              <w:textAlignment w:val="baseline"/>
              <w:rPr>
                <w:bCs/>
                <w:sz w:val="20"/>
                <w:szCs w:val="20"/>
                <w:highlight w:val="yellow"/>
              </w:rPr>
            </w:pPr>
            <w:r w:rsidRPr="00226953">
              <w:rPr>
                <w:bCs/>
                <w:sz w:val="20"/>
                <w:szCs w:val="20"/>
                <w:highlight w:val="yellow"/>
              </w:rPr>
              <w:t>Specify enhancement on cell DTX/DRX mechanism including the alignment of cell DTX/DRX and UE DRX in RRC_CONNECTED mode, and inter-node information exchange on cell DTX/DRX [RAN2, RAN1, RAN3]</w:t>
            </w:r>
          </w:p>
          <w:p w:rsidR="0007380B" w:rsidRPr="00226953" w:rsidRDefault="0007380B" w:rsidP="0007380B">
            <w:pPr>
              <w:numPr>
                <w:ilvl w:val="0"/>
                <w:numId w:val="37"/>
              </w:numPr>
              <w:overflowPunct w:val="0"/>
              <w:autoSpaceDE w:val="0"/>
              <w:autoSpaceDN w:val="0"/>
              <w:adjustRightInd w:val="0"/>
              <w:spacing w:beforeLines="50" w:before="120" w:afterLines="50" w:after="120"/>
              <w:ind w:left="1049" w:hanging="329"/>
              <w:jc w:val="both"/>
              <w:textAlignment w:val="baseline"/>
              <w:rPr>
                <w:bCs/>
                <w:sz w:val="20"/>
                <w:szCs w:val="20"/>
                <w:highlight w:val="yellow"/>
              </w:rPr>
            </w:pPr>
            <w:r w:rsidRPr="00226953">
              <w:rPr>
                <w:bCs/>
                <w:sz w:val="20"/>
                <w:szCs w:val="20"/>
                <w:highlight w:val="yellow"/>
              </w:rPr>
              <w:t>Note: No change for SSB transmission due to cell DTX/DRX.</w:t>
            </w:r>
          </w:p>
          <w:p w:rsidR="0007380B" w:rsidRPr="00226953" w:rsidRDefault="0007380B" w:rsidP="0007380B">
            <w:pPr>
              <w:numPr>
                <w:ilvl w:val="0"/>
                <w:numId w:val="37"/>
              </w:numPr>
              <w:overflowPunct w:val="0"/>
              <w:autoSpaceDE w:val="0"/>
              <w:autoSpaceDN w:val="0"/>
              <w:adjustRightInd w:val="0"/>
              <w:spacing w:beforeLines="50" w:before="120" w:afterLines="50" w:after="120"/>
              <w:ind w:left="1049" w:hanging="329"/>
              <w:jc w:val="both"/>
              <w:textAlignment w:val="baseline"/>
              <w:rPr>
                <w:bCs/>
                <w:sz w:val="20"/>
                <w:szCs w:val="20"/>
                <w:highlight w:val="yellow"/>
              </w:rPr>
            </w:pPr>
            <w:r w:rsidRPr="00226953">
              <w:rPr>
                <w:bCs/>
                <w:sz w:val="20"/>
                <w:szCs w:val="20"/>
                <w:highlight w:val="yellow"/>
              </w:rPr>
              <w:t>Note: The impact to IDLE/INACTIVE UEs due to the above enhancement should be avoided.</w:t>
            </w:r>
          </w:p>
          <w:p w:rsidR="0007380B" w:rsidRPr="00226953" w:rsidRDefault="0007380B" w:rsidP="0007380B">
            <w:pPr>
              <w:numPr>
                <w:ilvl w:val="0"/>
                <w:numId w:val="36"/>
              </w:numPr>
              <w:overflowPunct w:val="0"/>
              <w:autoSpaceDE w:val="0"/>
              <w:autoSpaceDN w:val="0"/>
              <w:adjustRightInd w:val="0"/>
              <w:spacing w:before="240"/>
              <w:ind w:leftChars="100" w:left="660"/>
              <w:textAlignment w:val="baseline"/>
              <w:rPr>
                <w:bCs/>
                <w:sz w:val="20"/>
                <w:szCs w:val="20"/>
              </w:rPr>
            </w:pPr>
            <w:r w:rsidRPr="00226953">
              <w:rPr>
                <w:bCs/>
                <w:sz w:val="20"/>
                <w:szCs w:val="20"/>
              </w:rPr>
              <w:t>Specify the following techniques in spatial and power domains</w:t>
            </w:r>
          </w:p>
          <w:p w:rsidR="0007380B" w:rsidRPr="00226953" w:rsidRDefault="0007380B" w:rsidP="0007380B">
            <w:pPr>
              <w:numPr>
                <w:ilvl w:val="0"/>
                <w:numId w:val="37"/>
              </w:numPr>
              <w:overflowPunct w:val="0"/>
              <w:autoSpaceDE w:val="0"/>
              <w:autoSpaceDN w:val="0"/>
              <w:adjustRightInd w:val="0"/>
              <w:spacing w:beforeLines="50" w:before="120" w:afterLines="50" w:after="120"/>
              <w:ind w:left="1049" w:hanging="329"/>
              <w:jc w:val="both"/>
              <w:textAlignment w:val="baseline"/>
              <w:rPr>
                <w:bCs/>
                <w:sz w:val="20"/>
                <w:szCs w:val="20"/>
              </w:rPr>
            </w:pPr>
            <w:r w:rsidRPr="00226953">
              <w:rPr>
                <w:bCs/>
                <w:sz w:val="20"/>
                <w:szCs w:val="20"/>
              </w:rPr>
              <w:t>Specify necessary enhancements on CSI and beam management related procedures including measurement and report, and signaling to enable efficient adaptation of spatial elements (</w:t>
            </w:r>
            <w:proofErr w:type="gramStart"/>
            <w:r w:rsidRPr="00226953">
              <w:rPr>
                <w:bCs/>
                <w:sz w:val="20"/>
                <w:szCs w:val="20"/>
              </w:rPr>
              <w:t>e.g.</w:t>
            </w:r>
            <w:proofErr w:type="gramEnd"/>
            <w:r w:rsidRPr="00226953">
              <w:rPr>
                <w:bCs/>
                <w:sz w:val="20"/>
                <w:szCs w:val="20"/>
              </w:rPr>
              <w:t xml:space="preserve"> antenna ports, active transceiver chains) [RAN1, RAN2]</w:t>
            </w:r>
          </w:p>
          <w:p w:rsidR="0007380B" w:rsidRPr="00226953" w:rsidRDefault="0007380B" w:rsidP="0007380B">
            <w:pPr>
              <w:numPr>
                <w:ilvl w:val="0"/>
                <w:numId w:val="37"/>
              </w:numPr>
              <w:overflowPunct w:val="0"/>
              <w:autoSpaceDE w:val="0"/>
              <w:autoSpaceDN w:val="0"/>
              <w:adjustRightInd w:val="0"/>
              <w:spacing w:beforeLines="50" w:before="120" w:afterLines="50" w:after="120"/>
              <w:ind w:left="1049" w:hanging="329"/>
              <w:jc w:val="both"/>
              <w:textAlignment w:val="baseline"/>
              <w:rPr>
                <w:bCs/>
                <w:sz w:val="20"/>
                <w:szCs w:val="20"/>
              </w:rPr>
            </w:pPr>
            <w:r w:rsidRPr="00226953">
              <w:rPr>
                <w:bCs/>
                <w:sz w:val="20"/>
                <w:szCs w:val="20"/>
              </w:rPr>
              <w:t>Specify necessary enhancements on CSI related procedures including measurement and report, and signaling to enable efficient adaptation of power offset values between PDSCH and CSI-RS [RAN1, RAN2]</w:t>
            </w:r>
          </w:p>
          <w:p w:rsidR="0007380B" w:rsidRPr="00226953" w:rsidRDefault="0007380B" w:rsidP="0007380B">
            <w:pPr>
              <w:numPr>
                <w:ilvl w:val="0"/>
                <w:numId w:val="37"/>
              </w:numPr>
              <w:overflowPunct w:val="0"/>
              <w:autoSpaceDE w:val="0"/>
              <w:autoSpaceDN w:val="0"/>
              <w:adjustRightInd w:val="0"/>
              <w:spacing w:beforeLines="50" w:before="120" w:afterLines="50" w:after="120"/>
              <w:ind w:left="1049" w:hanging="329"/>
              <w:jc w:val="both"/>
              <w:textAlignment w:val="baseline"/>
              <w:rPr>
                <w:bCs/>
                <w:sz w:val="20"/>
                <w:szCs w:val="20"/>
              </w:rPr>
            </w:pPr>
            <w:r w:rsidRPr="00226953">
              <w:rPr>
                <w:bCs/>
                <w:sz w:val="20"/>
                <w:szCs w:val="20"/>
              </w:rPr>
              <w:t>Note: Above objectives are only for UE specific channels/signals</w:t>
            </w:r>
          </w:p>
          <w:p w:rsidR="0007380B" w:rsidRPr="00226953" w:rsidRDefault="0007380B" w:rsidP="0007380B">
            <w:pPr>
              <w:numPr>
                <w:ilvl w:val="0"/>
                <w:numId w:val="37"/>
              </w:numPr>
              <w:overflowPunct w:val="0"/>
              <w:autoSpaceDE w:val="0"/>
              <w:autoSpaceDN w:val="0"/>
              <w:adjustRightInd w:val="0"/>
              <w:spacing w:beforeLines="50" w:before="120" w:afterLines="50" w:after="120"/>
              <w:ind w:left="1049" w:hanging="329"/>
              <w:jc w:val="both"/>
              <w:textAlignment w:val="baseline"/>
              <w:rPr>
                <w:bCs/>
                <w:sz w:val="20"/>
                <w:szCs w:val="20"/>
              </w:rPr>
            </w:pPr>
            <w:r w:rsidRPr="00226953">
              <w:rPr>
                <w:bCs/>
                <w:sz w:val="20"/>
                <w:szCs w:val="20"/>
              </w:rPr>
              <w:t>Note: Legacy UE CSI/CSI-RS capabilities applies when considering total number of CSI reports and requirements</w:t>
            </w:r>
          </w:p>
          <w:p w:rsidR="0007380B" w:rsidRPr="0007380B" w:rsidRDefault="0007380B" w:rsidP="0007380B">
            <w:pPr>
              <w:pStyle w:val="BodyText"/>
              <w:spacing w:after="0"/>
              <w:ind w:left="1049"/>
              <w:rPr>
                <w:rFonts w:cs="Times"/>
                <w:bCs/>
                <w:i/>
                <w:iCs/>
                <w:szCs w:val="20"/>
                <w:lang w:eastAsia="zh-CN"/>
              </w:rPr>
            </w:pPr>
          </w:p>
          <w:p w:rsidR="0007380B" w:rsidRPr="0007380B" w:rsidRDefault="0007380B" w:rsidP="0007380B">
            <w:pPr>
              <w:numPr>
                <w:ilvl w:val="0"/>
                <w:numId w:val="36"/>
              </w:numPr>
              <w:overflowPunct w:val="0"/>
              <w:autoSpaceDE w:val="0"/>
              <w:autoSpaceDN w:val="0"/>
              <w:adjustRightInd w:val="0"/>
              <w:ind w:leftChars="100" w:left="660"/>
              <w:textAlignment w:val="baseline"/>
              <w:rPr>
                <w:bCs/>
                <w:sz w:val="20"/>
                <w:szCs w:val="20"/>
              </w:rPr>
            </w:pPr>
            <w:r w:rsidRPr="0007380B">
              <w:rPr>
                <w:bCs/>
                <w:sz w:val="20"/>
                <w:szCs w:val="20"/>
              </w:rPr>
              <w:t xml:space="preserve">Specify mechanism(s) to prevent legacy UEs camping on cells adopting the Rel-18 NES techniques, if necessary [RAN2] </w:t>
            </w:r>
          </w:p>
          <w:p w:rsidR="0007380B" w:rsidRPr="0007380B" w:rsidRDefault="0007380B" w:rsidP="0007380B">
            <w:pPr>
              <w:ind w:left="620"/>
              <w:rPr>
                <w:bCs/>
                <w:sz w:val="20"/>
                <w:szCs w:val="20"/>
              </w:rPr>
            </w:pPr>
          </w:p>
          <w:p w:rsidR="0007380B" w:rsidRPr="0007380B" w:rsidRDefault="0007380B" w:rsidP="0007380B">
            <w:pPr>
              <w:numPr>
                <w:ilvl w:val="0"/>
                <w:numId w:val="36"/>
              </w:numPr>
              <w:overflowPunct w:val="0"/>
              <w:autoSpaceDE w:val="0"/>
              <w:autoSpaceDN w:val="0"/>
              <w:adjustRightInd w:val="0"/>
              <w:ind w:leftChars="100" w:left="660"/>
              <w:textAlignment w:val="baseline"/>
              <w:rPr>
                <w:bCs/>
                <w:sz w:val="20"/>
                <w:szCs w:val="20"/>
              </w:rPr>
            </w:pPr>
            <w:r w:rsidRPr="0007380B">
              <w:rPr>
                <w:bCs/>
                <w:sz w:val="20"/>
                <w:szCs w:val="20"/>
              </w:rPr>
              <w:t>Specify CHO procedure enhancement(s) in case source/target cell is in NES mode [RAN2]</w:t>
            </w:r>
          </w:p>
          <w:p w:rsidR="0007380B" w:rsidRPr="0007380B" w:rsidRDefault="0007380B" w:rsidP="0007380B">
            <w:pPr>
              <w:ind w:left="620"/>
              <w:rPr>
                <w:bCs/>
                <w:sz w:val="20"/>
                <w:szCs w:val="20"/>
              </w:rPr>
            </w:pPr>
          </w:p>
          <w:p w:rsidR="0007380B" w:rsidRPr="0007380B" w:rsidRDefault="0007380B" w:rsidP="0007380B">
            <w:pPr>
              <w:numPr>
                <w:ilvl w:val="0"/>
                <w:numId w:val="36"/>
              </w:numPr>
              <w:overflowPunct w:val="0"/>
              <w:autoSpaceDE w:val="0"/>
              <w:autoSpaceDN w:val="0"/>
              <w:adjustRightInd w:val="0"/>
              <w:ind w:leftChars="100" w:left="660"/>
              <w:textAlignment w:val="baseline"/>
              <w:rPr>
                <w:bCs/>
                <w:sz w:val="20"/>
                <w:szCs w:val="20"/>
              </w:rPr>
            </w:pPr>
            <w:r w:rsidRPr="0007380B">
              <w:rPr>
                <w:bCs/>
                <w:sz w:val="20"/>
                <w:szCs w:val="20"/>
              </w:rPr>
              <w:t>Specify inter-node beam activation and enhancements on restricting paging in a limited area [RAN3].</w:t>
            </w:r>
          </w:p>
          <w:p w:rsidR="0007380B" w:rsidRPr="0007380B" w:rsidRDefault="0007380B" w:rsidP="0007380B">
            <w:pPr>
              <w:rPr>
                <w:bCs/>
                <w:sz w:val="20"/>
                <w:szCs w:val="20"/>
              </w:rPr>
            </w:pPr>
          </w:p>
          <w:p w:rsidR="0007380B" w:rsidRPr="0007380B" w:rsidRDefault="0007380B" w:rsidP="0007380B">
            <w:pPr>
              <w:numPr>
                <w:ilvl w:val="0"/>
                <w:numId w:val="36"/>
              </w:numPr>
              <w:overflowPunct w:val="0"/>
              <w:autoSpaceDE w:val="0"/>
              <w:autoSpaceDN w:val="0"/>
              <w:adjustRightInd w:val="0"/>
              <w:ind w:leftChars="100" w:left="660"/>
              <w:textAlignment w:val="baseline"/>
              <w:rPr>
                <w:bCs/>
                <w:sz w:val="20"/>
                <w:szCs w:val="20"/>
              </w:rPr>
            </w:pPr>
            <w:r w:rsidRPr="0007380B">
              <w:rPr>
                <w:rFonts w:hint="eastAsia"/>
                <w:bCs/>
                <w:sz w:val="20"/>
                <w:szCs w:val="20"/>
              </w:rPr>
              <w:t>S</w:t>
            </w:r>
            <w:r w:rsidRPr="0007380B">
              <w:rPr>
                <w:bCs/>
                <w:sz w:val="20"/>
                <w:szCs w:val="20"/>
              </w:rPr>
              <w:t>pecify the corresponding RRM/RF core requirements, if necessary, for the above features [RAN4]</w:t>
            </w:r>
          </w:p>
          <w:p w:rsidR="00557396" w:rsidRPr="0007380B" w:rsidRDefault="00557396" w:rsidP="00906A9A">
            <w:pPr>
              <w:shd w:val="clear" w:color="auto" w:fill="FFFFFF"/>
              <w:contextualSpacing/>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07380B">
        <w:rPr>
          <w:lang w:val="en-US"/>
        </w:rPr>
        <w:t xml:space="preserve">network energy saving </w:t>
      </w:r>
      <w:r w:rsidR="00226953">
        <w:rPr>
          <w:lang w:val="en-US"/>
        </w:rPr>
        <w:t>on cell DTX/DRX</w:t>
      </w:r>
      <w:r>
        <w:rPr>
          <w:lang w:val="en-US"/>
        </w:rPr>
        <w:t>.</w:t>
      </w:r>
    </w:p>
    <w:p w:rsidR="001F1EBF" w:rsidRDefault="00226953" w:rsidP="001F1EBF">
      <w:pPr>
        <w:pStyle w:val="Heading1"/>
      </w:pPr>
      <w:r>
        <w:t>Cell DTX</w:t>
      </w:r>
    </w:p>
    <w:p w:rsidR="00226953" w:rsidRDefault="00226953" w:rsidP="00557396">
      <w:pPr>
        <w:pStyle w:val="0Maintext"/>
        <w:spacing w:after="120" w:afterAutospacing="0" w:line="240" w:lineRule="auto"/>
        <w:ind w:firstLine="0"/>
        <w:rPr>
          <w:bCs/>
          <w:iCs/>
          <w:lang w:val="en-US"/>
        </w:rPr>
      </w:pPr>
      <w:r>
        <w:rPr>
          <w:bCs/>
          <w:iCs/>
          <w:lang w:val="en-US"/>
        </w:rPr>
        <w:t xml:space="preserve">Currently, the gNB can configure the DRX for a UE to indicate when the UE shall perform the PDCCH monitoring. When the UE is in the DRX off status, the UE does not need to perform the PDCCH monitoring. </w:t>
      </w:r>
      <w:r>
        <w:rPr>
          <w:bCs/>
          <w:iCs/>
          <w:lang w:val="en-US"/>
        </w:rPr>
        <w:lastRenderedPageBreak/>
        <w:t>However, the UE may still need to perform some measurement behavior, e.g., beam measurement for beam report, BFD, RLM and so on. Thus, although the gNB does not need to transmit the PDCCH, it still needs to transmit the downlink reference signal, e.g., SSB/CSI-RS for beam measurement for beam report, BFD, RLM and so on. With regard to the idle mode UE and beam tracking for the connected mode UE, the network still needs to transmit the SSB. However, it does not necessarily need to transmit CSI-RS for beam measurement. Therefore, with regard to the cell DTX for NES, one possible way is to introduce another DRX for measurement (DRX-M) for a UE, where when the DRX-M is off, the UE does not need to perform the measurement on the SSB/CSI-RS. Then the gNB could decide not to transmit the CSI-RS.</w:t>
      </w:r>
    </w:p>
    <w:p w:rsidR="00226953" w:rsidRPr="00226953" w:rsidRDefault="00226953" w:rsidP="00557396">
      <w:pPr>
        <w:pStyle w:val="0Maintext"/>
        <w:spacing w:after="120" w:afterAutospacing="0" w:line="240" w:lineRule="auto"/>
        <w:ind w:firstLine="0"/>
        <w:rPr>
          <w:b/>
          <w:i/>
          <w:lang w:val="en-US"/>
        </w:rPr>
      </w:pPr>
      <w:r w:rsidRPr="00226953">
        <w:rPr>
          <w:b/>
          <w:i/>
          <w:lang w:val="en-US"/>
        </w:rPr>
        <w:t>Proposal 1: Introduce a DRX for measurement (DRX-M) for a UE, where the UE does not need to perform the beam measurement when DRX-M is off.</w:t>
      </w:r>
    </w:p>
    <w:p w:rsidR="00226953" w:rsidRDefault="00226953" w:rsidP="00226953">
      <w:pPr>
        <w:pStyle w:val="Heading1"/>
      </w:pPr>
      <w:r>
        <w:t>Cell DRX</w:t>
      </w:r>
    </w:p>
    <w:p w:rsidR="00226953" w:rsidRDefault="00A461D9" w:rsidP="00557396">
      <w:pPr>
        <w:pStyle w:val="0Maintext"/>
        <w:spacing w:after="120" w:afterAutospacing="0" w:line="240" w:lineRule="auto"/>
        <w:ind w:firstLine="0"/>
        <w:rPr>
          <w:bCs/>
          <w:iCs/>
          <w:lang w:val="en-US"/>
        </w:rPr>
      </w:pPr>
      <w:r>
        <w:rPr>
          <w:bCs/>
          <w:iCs/>
          <w:lang w:val="en-US"/>
        </w:rPr>
        <w:t xml:space="preserve">Currently, the UE shall transmit the periodic/semi-persistent beam report </w:t>
      </w:r>
      <w:r w:rsidR="00F53A12">
        <w:rPr>
          <w:bCs/>
          <w:iCs/>
          <w:lang w:val="en-US"/>
        </w:rPr>
        <w:t xml:space="preserve">in a </w:t>
      </w:r>
      <w:r>
        <w:rPr>
          <w:bCs/>
          <w:iCs/>
          <w:lang w:val="en-US"/>
        </w:rPr>
        <w:t>slot</w:t>
      </w:r>
      <w:r w:rsidR="00F53A12">
        <w:rPr>
          <w:bCs/>
          <w:iCs/>
          <w:lang w:val="en-US"/>
        </w:rPr>
        <w:t xml:space="preserve"> based on the configured periodicity and slot offset</w:t>
      </w:r>
      <w:r>
        <w:rPr>
          <w:rFonts w:hint="eastAsia"/>
          <w:bCs/>
          <w:iCs/>
          <w:lang w:val="en-US" w:eastAsia="zh-CN"/>
        </w:rPr>
        <w:t>.</w:t>
      </w:r>
      <w:r>
        <w:rPr>
          <w:bCs/>
          <w:iCs/>
          <w:lang w:val="en-US"/>
        </w:rPr>
        <w:t xml:space="preserve"> With regard to the cell DRX for NES, one possible way is to dynamically update the periodicity for the periodic/semi-persistent beam report. The new periodicity can make sure there could be no uplink transmission from all the UEs in a certain time so that the network can reduce the energy for uplink reception. Thus, it should be supported to update the periodicity for the periodic/semi-persistent beam report by MAC CE.</w:t>
      </w:r>
    </w:p>
    <w:p w:rsidR="00F53A12" w:rsidRPr="00F53A12" w:rsidRDefault="00F53A12" w:rsidP="00557396">
      <w:pPr>
        <w:pStyle w:val="0Maintext"/>
        <w:spacing w:after="120" w:afterAutospacing="0" w:line="240" w:lineRule="auto"/>
        <w:ind w:firstLine="0"/>
        <w:rPr>
          <w:b/>
          <w:i/>
          <w:lang w:val="en-US"/>
        </w:rPr>
      </w:pPr>
      <w:r w:rsidRPr="00F53A12">
        <w:rPr>
          <w:rFonts w:hint="eastAsia"/>
          <w:b/>
          <w:i/>
          <w:lang w:val="en-US" w:eastAsia="zh-CN"/>
        </w:rPr>
        <w:t>Proposal</w:t>
      </w:r>
      <w:r w:rsidRPr="00F53A12">
        <w:rPr>
          <w:b/>
          <w:i/>
          <w:lang w:val="en-US" w:eastAsia="zh-CN"/>
        </w:rPr>
        <w:t xml:space="preserve"> 2: To facilitate the cell DRX, support the dynamical update the periodicity for periodic/semi-persistent beam report by MAC CE.</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A9243C">
        <w:rPr>
          <w:lang w:val="en-US" w:eastAsia="zh-CN"/>
        </w:rPr>
        <w:t xml:space="preserve">NES </w:t>
      </w:r>
      <w:r w:rsidR="00F53A12">
        <w:rPr>
          <w:lang w:val="en-US" w:eastAsia="zh-CN"/>
        </w:rPr>
        <w:t>on cell DTX/DRX</w:t>
      </w:r>
      <w:r>
        <w:rPr>
          <w:lang w:val="en-US" w:eastAsia="zh-CN"/>
        </w:rPr>
        <w:t>. Based on the discussion, the following proposals have been achieved.</w:t>
      </w:r>
    </w:p>
    <w:p w:rsidR="00F53A12" w:rsidRPr="00226953" w:rsidRDefault="00F53A12" w:rsidP="00F53A12">
      <w:pPr>
        <w:pStyle w:val="0Maintext"/>
        <w:spacing w:after="120" w:afterAutospacing="0" w:line="240" w:lineRule="auto"/>
        <w:ind w:firstLine="0"/>
        <w:rPr>
          <w:b/>
          <w:i/>
          <w:lang w:val="en-US"/>
        </w:rPr>
      </w:pPr>
      <w:r w:rsidRPr="00226953">
        <w:rPr>
          <w:b/>
          <w:i/>
          <w:lang w:val="en-US"/>
        </w:rPr>
        <w:t>Proposal 1: Introduce a DRX for measurement (DRX-M) for a UE, where the UE does not need to perform the beam measurement when DRX-M is off.</w:t>
      </w:r>
    </w:p>
    <w:p w:rsidR="00F53A12" w:rsidRPr="00F53A12" w:rsidRDefault="00F53A12" w:rsidP="00F53A12">
      <w:pPr>
        <w:pStyle w:val="0Maintext"/>
        <w:spacing w:after="120" w:afterAutospacing="0" w:line="240" w:lineRule="auto"/>
        <w:ind w:firstLine="0"/>
        <w:rPr>
          <w:b/>
          <w:i/>
          <w:lang w:val="en-US"/>
        </w:rPr>
      </w:pPr>
      <w:r w:rsidRPr="00F53A12">
        <w:rPr>
          <w:rFonts w:hint="eastAsia"/>
          <w:b/>
          <w:i/>
          <w:lang w:val="en-US" w:eastAsia="zh-CN"/>
        </w:rPr>
        <w:t>Proposal</w:t>
      </w:r>
      <w:r w:rsidRPr="00F53A12">
        <w:rPr>
          <w:b/>
          <w:i/>
          <w:lang w:val="en-US" w:eastAsia="zh-CN"/>
        </w:rPr>
        <w:t xml:space="preserve"> 2: To facilitate the cell DRX, support the dynamical update the periodicity for periodic/semi-persistent beam report by MAC CE.</w:t>
      </w:r>
    </w:p>
    <w:p w:rsidR="007774C4" w:rsidRPr="00F92E33" w:rsidRDefault="007774C4" w:rsidP="00C42331">
      <w:pPr>
        <w:pStyle w:val="0Maintext"/>
        <w:spacing w:after="120" w:afterAutospacing="0" w:line="240" w:lineRule="auto"/>
        <w:ind w:firstLine="0"/>
        <w:rPr>
          <w:b/>
          <w:i/>
          <w:lang w:val="en-US"/>
        </w:rPr>
      </w:pPr>
    </w:p>
    <w:sectPr w:rsidR="007774C4"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F70C54"/>
    <w:multiLevelType w:val="hybridMultilevel"/>
    <w:tmpl w:val="2E804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BAF7801"/>
    <w:multiLevelType w:val="hybridMultilevel"/>
    <w:tmpl w:val="FDAEA03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4"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16"/>
  </w:num>
  <w:num w:numId="3" w16cid:durableId="1291010930">
    <w:abstractNumId w:val="24"/>
  </w:num>
  <w:num w:numId="4" w16cid:durableId="1095134973">
    <w:abstractNumId w:val="21"/>
  </w:num>
  <w:num w:numId="5" w16cid:durableId="1641223975">
    <w:abstractNumId w:val="13"/>
  </w:num>
  <w:num w:numId="6" w16cid:durableId="564610010">
    <w:abstractNumId w:val="27"/>
  </w:num>
  <w:num w:numId="7" w16cid:durableId="577132295">
    <w:abstractNumId w:val="7"/>
  </w:num>
  <w:num w:numId="8" w16cid:durableId="617444232">
    <w:abstractNumId w:val="12"/>
  </w:num>
  <w:num w:numId="9" w16cid:durableId="1741826848">
    <w:abstractNumId w:val="20"/>
  </w:num>
  <w:num w:numId="10" w16cid:durableId="204176157">
    <w:abstractNumId w:val="29"/>
  </w:num>
  <w:num w:numId="11" w16cid:durableId="2075464340">
    <w:abstractNumId w:val="37"/>
  </w:num>
  <w:num w:numId="12" w16cid:durableId="134567778">
    <w:abstractNumId w:val="14"/>
  </w:num>
  <w:num w:numId="13" w16cid:durableId="1036003743">
    <w:abstractNumId w:val="26"/>
  </w:num>
  <w:num w:numId="14" w16cid:durableId="1516190854">
    <w:abstractNumId w:val="4"/>
  </w:num>
  <w:num w:numId="15" w16cid:durableId="667904329">
    <w:abstractNumId w:val="35"/>
  </w:num>
  <w:num w:numId="16" w16cid:durableId="749228951">
    <w:abstractNumId w:val="30"/>
  </w:num>
  <w:num w:numId="17" w16cid:durableId="654139330">
    <w:abstractNumId w:val="34"/>
  </w:num>
  <w:num w:numId="18" w16cid:durableId="37442205">
    <w:abstractNumId w:val="25"/>
  </w:num>
  <w:num w:numId="19" w16cid:durableId="452796089">
    <w:abstractNumId w:val="24"/>
  </w:num>
  <w:num w:numId="20" w16cid:durableId="947349516">
    <w:abstractNumId w:val="15"/>
  </w:num>
  <w:num w:numId="21" w16cid:durableId="123163289">
    <w:abstractNumId w:val="9"/>
  </w:num>
  <w:num w:numId="22" w16cid:durableId="892035091">
    <w:abstractNumId w:val="8"/>
  </w:num>
  <w:num w:numId="23" w16cid:durableId="1978486">
    <w:abstractNumId w:val="2"/>
  </w:num>
  <w:num w:numId="24" w16cid:durableId="1452360992">
    <w:abstractNumId w:val="11"/>
  </w:num>
  <w:num w:numId="25" w16cid:durableId="501893973">
    <w:abstractNumId w:val="17"/>
  </w:num>
  <w:num w:numId="26" w16cid:durableId="766006395">
    <w:abstractNumId w:val="1"/>
  </w:num>
  <w:num w:numId="27" w16cid:durableId="1729301981">
    <w:abstractNumId w:val="3"/>
  </w:num>
  <w:num w:numId="28" w16cid:durableId="246039098">
    <w:abstractNumId w:val="6"/>
  </w:num>
  <w:num w:numId="29" w16cid:durableId="113498451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32"/>
  </w:num>
  <w:num w:numId="32" w16cid:durableId="221910137">
    <w:abstractNumId w:val="18"/>
  </w:num>
  <w:num w:numId="33" w16cid:durableId="66971511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28"/>
  </w:num>
  <w:num w:numId="35" w16cid:durableId="1275870949">
    <w:abstractNumId w:val="10"/>
  </w:num>
  <w:num w:numId="36" w16cid:durableId="1169522636">
    <w:abstractNumId w:val="31"/>
  </w:num>
  <w:num w:numId="37" w16cid:durableId="2126192969">
    <w:abstractNumId w:val="33"/>
  </w:num>
  <w:num w:numId="38" w16cid:durableId="149954426">
    <w:abstractNumId w:val="19"/>
  </w:num>
  <w:num w:numId="39" w16cid:durableId="1450461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47CA9"/>
    <w:rsid w:val="0007380B"/>
    <w:rsid w:val="000A1909"/>
    <w:rsid w:val="000A60ED"/>
    <w:rsid w:val="000C1D8F"/>
    <w:rsid w:val="00122C70"/>
    <w:rsid w:val="0015468B"/>
    <w:rsid w:val="001922F1"/>
    <w:rsid w:val="001D3923"/>
    <w:rsid w:val="001D7163"/>
    <w:rsid w:val="001E1D5D"/>
    <w:rsid w:val="001E4CFE"/>
    <w:rsid w:val="001F1EBF"/>
    <w:rsid w:val="002055B7"/>
    <w:rsid w:val="00226209"/>
    <w:rsid w:val="00226953"/>
    <w:rsid w:val="00240A01"/>
    <w:rsid w:val="00253282"/>
    <w:rsid w:val="002548E6"/>
    <w:rsid w:val="00275881"/>
    <w:rsid w:val="002D719B"/>
    <w:rsid w:val="00303A87"/>
    <w:rsid w:val="00304407"/>
    <w:rsid w:val="0030732C"/>
    <w:rsid w:val="00330D34"/>
    <w:rsid w:val="00346E6B"/>
    <w:rsid w:val="00356E4B"/>
    <w:rsid w:val="00363B9B"/>
    <w:rsid w:val="00375357"/>
    <w:rsid w:val="00382EEF"/>
    <w:rsid w:val="003976BE"/>
    <w:rsid w:val="003B53AC"/>
    <w:rsid w:val="003C00AB"/>
    <w:rsid w:val="003D2036"/>
    <w:rsid w:val="003D4627"/>
    <w:rsid w:val="003F4028"/>
    <w:rsid w:val="00417C58"/>
    <w:rsid w:val="00431006"/>
    <w:rsid w:val="00431501"/>
    <w:rsid w:val="00431BE9"/>
    <w:rsid w:val="00441483"/>
    <w:rsid w:val="00477892"/>
    <w:rsid w:val="00491EBA"/>
    <w:rsid w:val="004951DA"/>
    <w:rsid w:val="004B588D"/>
    <w:rsid w:val="004C65E3"/>
    <w:rsid w:val="0050593E"/>
    <w:rsid w:val="00514A10"/>
    <w:rsid w:val="00530C57"/>
    <w:rsid w:val="00557396"/>
    <w:rsid w:val="005635BB"/>
    <w:rsid w:val="005A2726"/>
    <w:rsid w:val="005B55AC"/>
    <w:rsid w:val="00606763"/>
    <w:rsid w:val="0061491E"/>
    <w:rsid w:val="00640857"/>
    <w:rsid w:val="00660865"/>
    <w:rsid w:val="00687F40"/>
    <w:rsid w:val="006A5206"/>
    <w:rsid w:val="006E53C6"/>
    <w:rsid w:val="006F34F6"/>
    <w:rsid w:val="006F4725"/>
    <w:rsid w:val="007113F2"/>
    <w:rsid w:val="00716FD7"/>
    <w:rsid w:val="007520FE"/>
    <w:rsid w:val="00763A34"/>
    <w:rsid w:val="007774C4"/>
    <w:rsid w:val="00781DD5"/>
    <w:rsid w:val="007859EE"/>
    <w:rsid w:val="00792998"/>
    <w:rsid w:val="007A63FA"/>
    <w:rsid w:val="007F3937"/>
    <w:rsid w:val="00826E9C"/>
    <w:rsid w:val="008443A3"/>
    <w:rsid w:val="008766FE"/>
    <w:rsid w:val="008864BC"/>
    <w:rsid w:val="008A6337"/>
    <w:rsid w:val="008C065D"/>
    <w:rsid w:val="008C0EF8"/>
    <w:rsid w:val="008C5A18"/>
    <w:rsid w:val="008D0006"/>
    <w:rsid w:val="008D04EC"/>
    <w:rsid w:val="008D4BCD"/>
    <w:rsid w:val="008E42B2"/>
    <w:rsid w:val="008E7132"/>
    <w:rsid w:val="00905082"/>
    <w:rsid w:val="00906A9A"/>
    <w:rsid w:val="00914B21"/>
    <w:rsid w:val="00922457"/>
    <w:rsid w:val="009366FD"/>
    <w:rsid w:val="00944CEA"/>
    <w:rsid w:val="00953F61"/>
    <w:rsid w:val="00987A0B"/>
    <w:rsid w:val="009B0A18"/>
    <w:rsid w:val="009C1B6C"/>
    <w:rsid w:val="009C1CAB"/>
    <w:rsid w:val="009D0133"/>
    <w:rsid w:val="009E3DB7"/>
    <w:rsid w:val="009E5063"/>
    <w:rsid w:val="009F2D93"/>
    <w:rsid w:val="009F6087"/>
    <w:rsid w:val="00A17BEA"/>
    <w:rsid w:val="00A316C9"/>
    <w:rsid w:val="00A42238"/>
    <w:rsid w:val="00A448D2"/>
    <w:rsid w:val="00A461D9"/>
    <w:rsid w:val="00A90297"/>
    <w:rsid w:val="00A9243C"/>
    <w:rsid w:val="00A93065"/>
    <w:rsid w:val="00AA2E73"/>
    <w:rsid w:val="00AC0A67"/>
    <w:rsid w:val="00AC0D3E"/>
    <w:rsid w:val="00AD4009"/>
    <w:rsid w:val="00AE467A"/>
    <w:rsid w:val="00B01671"/>
    <w:rsid w:val="00B02C9F"/>
    <w:rsid w:val="00B1188E"/>
    <w:rsid w:val="00B13D47"/>
    <w:rsid w:val="00B3722D"/>
    <w:rsid w:val="00B71A0E"/>
    <w:rsid w:val="00B8306C"/>
    <w:rsid w:val="00B853B6"/>
    <w:rsid w:val="00B93343"/>
    <w:rsid w:val="00BA48C8"/>
    <w:rsid w:val="00BE15BB"/>
    <w:rsid w:val="00C031C3"/>
    <w:rsid w:val="00C03A21"/>
    <w:rsid w:val="00C04D65"/>
    <w:rsid w:val="00C10D36"/>
    <w:rsid w:val="00C132FE"/>
    <w:rsid w:val="00C1419D"/>
    <w:rsid w:val="00C216A4"/>
    <w:rsid w:val="00C27E72"/>
    <w:rsid w:val="00C42331"/>
    <w:rsid w:val="00C46EAA"/>
    <w:rsid w:val="00C46F7B"/>
    <w:rsid w:val="00C5337A"/>
    <w:rsid w:val="00C9103E"/>
    <w:rsid w:val="00C9405F"/>
    <w:rsid w:val="00CB1727"/>
    <w:rsid w:val="00CB1881"/>
    <w:rsid w:val="00CF6D54"/>
    <w:rsid w:val="00D0763A"/>
    <w:rsid w:val="00D13E1E"/>
    <w:rsid w:val="00D1450B"/>
    <w:rsid w:val="00D518D9"/>
    <w:rsid w:val="00D542B4"/>
    <w:rsid w:val="00D616A3"/>
    <w:rsid w:val="00D719D5"/>
    <w:rsid w:val="00D734BD"/>
    <w:rsid w:val="00D80CF1"/>
    <w:rsid w:val="00D97433"/>
    <w:rsid w:val="00DA2FD9"/>
    <w:rsid w:val="00DA6558"/>
    <w:rsid w:val="00DC01E8"/>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B7CC1"/>
    <w:rsid w:val="00EF1059"/>
    <w:rsid w:val="00F03368"/>
    <w:rsid w:val="00F31ED8"/>
    <w:rsid w:val="00F34D5C"/>
    <w:rsid w:val="00F53A12"/>
    <w:rsid w:val="00F81399"/>
    <w:rsid w:val="00F92E33"/>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A3DC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2023-02-10T03:07:00Z</dcterms:created>
  <dcterms:modified xsi:type="dcterms:W3CDTF">2023-02-14T03:34:00Z</dcterms:modified>
</cp:coreProperties>
</file>